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SR1 2024 66 vom 10. Februar 2025</w:t>
      </w:r>
    </w:p>
    <w:p>
      <w:r>
        <w:t>GR Gerichte, 2025-02-10, DE</w:t>
      </w:r>
    </w:p>
    <w:p>
      <w:r>
        <w:rPr>
          <w:b/>
        </w:rPr>
        <w:t xml:space="preserve">Quelle: </w:t>
      </w:r>
      <w:r>
        <w:t>https://mcp.opencaselaw.ch/entscheid/gr_gerichte_SR1 2024 66</w:t>
      </w:r>
    </w:p>
    <w:p>
      <w:r>
        <w:t>FR: GR_GERICHTE SR1 2024 66 du 10 février 2025</w:t>
      </w:r>
    </w:p>
    <w:p>
      <w:r>
        <w:t>IT: GR_GERICHTE SR1 2024 66 del 10 febbraio 2025</w:t>
      </w:r>
    </w:p>
    <w:p>
      <w:pPr>
        <w:pStyle w:val="Heading2"/>
      </w:pPr>
      <w:r>
        <w:t>Regeste</w:t>
      </w:r>
    </w:p>
    <w:p>
      <w:r>
        <w:t>unbefugtes Eindringen in ein Datenverarbeitungssystem | StGB 137-172 Vermögen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Kosten werden keine erhoben und Entschädigungen sind ebenfalls keine zuzusprechen.</w:t>
      </w:r>
    </w:p>
    <w:p>
      <w:r>
        <w:rPr>
          <w:b/>
        </w:rPr>
        <w:t>E. 5</w:t>
      </w:r>
    </w:p>
    <w:p>
      <w:r>
        <w:t>/ 5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